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CA5D" w14:textId="3020154B" w:rsidR="00200F2A" w:rsidRPr="00644068" w:rsidRDefault="00D10F3F">
      <w:pPr>
        <w:pStyle w:val="Standard"/>
        <w:rPr>
          <w:sz w:val="28"/>
          <w:szCs w:val="28"/>
        </w:rPr>
      </w:pPr>
      <w:r w:rsidRPr="00644068">
        <w:rPr>
          <w:sz w:val="28"/>
          <w:szCs w:val="28"/>
        </w:rPr>
        <w:t xml:space="preserve">Downer, Jones, Marino and Wilhite </w:t>
      </w:r>
      <w:bookmarkStart w:id="0" w:name="30j0zll"/>
      <w:bookmarkEnd w:id="0"/>
    </w:p>
    <w:p w14:paraId="6A053FC7" w14:textId="77777777" w:rsidR="00200F2A" w:rsidRPr="00644068" w:rsidRDefault="00D10F3F">
      <w:pPr>
        <w:pStyle w:val="Standard"/>
        <w:rPr>
          <w:rFonts w:eastAsia="Arial" w:cs="Arial"/>
          <w:color w:val="000000"/>
          <w:sz w:val="28"/>
          <w:szCs w:val="28"/>
        </w:rPr>
      </w:pPr>
      <w:r w:rsidRPr="00644068">
        <w:rPr>
          <w:rFonts w:eastAsia="Arial" w:cs="Arial"/>
          <w:color w:val="000000"/>
          <w:sz w:val="28"/>
          <w:szCs w:val="28"/>
        </w:rPr>
        <w:t>318-213-4444</w:t>
      </w:r>
      <w:bookmarkStart w:id="1" w:name="1fob9te"/>
      <w:bookmarkEnd w:id="1"/>
    </w:p>
    <w:p w14:paraId="666CA802" w14:textId="77777777" w:rsidR="00200F2A" w:rsidRPr="00644068" w:rsidRDefault="00D10F3F">
      <w:pPr>
        <w:pStyle w:val="Standard"/>
        <w:rPr>
          <w:rFonts w:eastAsia="Arial" w:cs="Arial"/>
          <w:color w:val="000000"/>
          <w:sz w:val="28"/>
          <w:szCs w:val="28"/>
        </w:rPr>
      </w:pPr>
      <w:r w:rsidRPr="00644068">
        <w:rPr>
          <w:rFonts w:eastAsia="Arial" w:cs="Arial"/>
          <w:color w:val="000000"/>
          <w:sz w:val="28"/>
          <w:szCs w:val="28"/>
        </w:rPr>
        <w:t>ajones@dhw-law.com</w:t>
      </w:r>
    </w:p>
    <w:p w14:paraId="71763216" w14:textId="6183CD1F" w:rsidR="00200F2A" w:rsidRPr="00644068" w:rsidRDefault="00200F2A">
      <w:pPr>
        <w:pStyle w:val="Standard"/>
        <w:jc w:val="center"/>
        <w:rPr>
          <w:sz w:val="28"/>
          <w:szCs w:val="28"/>
        </w:rPr>
      </w:pPr>
    </w:p>
    <w:p w14:paraId="1B48EE83" w14:textId="77777777" w:rsidR="003F3A5F" w:rsidRPr="00644068" w:rsidRDefault="003F3A5F">
      <w:pPr>
        <w:pStyle w:val="Standard"/>
        <w:jc w:val="center"/>
        <w:rPr>
          <w:sz w:val="28"/>
          <w:szCs w:val="28"/>
        </w:rPr>
      </w:pPr>
    </w:p>
    <w:p w14:paraId="5E6C5C45" w14:textId="47954E51" w:rsidR="00200F2A" w:rsidRPr="00644068" w:rsidRDefault="00D10F3F">
      <w:pPr>
        <w:pStyle w:val="Standard"/>
        <w:jc w:val="center"/>
        <w:rPr>
          <w:rFonts w:eastAsia="Arial" w:cs="Arial"/>
          <w:b/>
          <w:bCs/>
          <w:color w:val="000000"/>
          <w:sz w:val="28"/>
          <w:szCs w:val="28"/>
        </w:rPr>
      </w:pPr>
      <w:r w:rsidRPr="00644068">
        <w:rPr>
          <w:rFonts w:eastAsia="Arial" w:cs="Arial"/>
          <w:b/>
          <w:bCs/>
          <w:color w:val="000000"/>
          <w:sz w:val="28"/>
          <w:szCs w:val="28"/>
        </w:rPr>
        <w:t>PRESS RELEASE</w:t>
      </w:r>
    </w:p>
    <w:p w14:paraId="7E1C9AA7" w14:textId="57F2EA03" w:rsidR="00200F2A" w:rsidRPr="00644068" w:rsidRDefault="00200F2A">
      <w:pPr>
        <w:pStyle w:val="Standard"/>
        <w:jc w:val="center"/>
        <w:rPr>
          <w:sz w:val="28"/>
          <w:szCs w:val="28"/>
        </w:rPr>
      </w:pPr>
    </w:p>
    <w:p w14:paraId="2A6605D6" w14:textId="77777777" w:rsidR="00200F2A" w:rsidRPr="00644068" w:rsidRDefault="00D10F3F">
      <w:pPr>
        <w:pStyle w:val="Standard"/>
        <w:rPr>
          <w:b/>
          <w:bCs/>
          <w:sz w:val="28"/>
          <w:szCs w:val="28"/>
        </w:rPr>
      </w:pPr>
      <w:r w:rsidRPr="00644068">
        <w:rPr>
          <w:b/>
          <w:bCs/>
          <w:sz w:val="28"/>
          <w:szCs w:val="28"/>
        </w:rPr>
        <w:t>FOR IMMEDIATE RELEASE</w:t>
      </w:r>
    </w:p>
    <w:p w14:paraId="26FA9E50" w14:textId="77777777" w:rsidR="00200F2A" w:rsidRPr="00644068" w:rsidRDefault="00200F2A">
      <w:pPr>
        <w:pStyle w:val="Standard"/>
        <w:rPr>
          <w:sz w:val="28"/>
          <w:szCs w:val="28"/>
        </w:rPr>
      </w:pPr>
    </w:p>
    <w:p w14:paraId="2EC4A908" w14:textId="77777777" w:rsidR="0042203E" w:rsidRPr="00644068" w:rsidRDefault="0042203E" w:rsidP="00424E5B">
      <w:pPr>
        <w:pStyle w:val="Standard"/>
        <w:jc w:val="both"/>
        <w:rPr>
          <w:sz w:val="28"/>
          <w:szCs w:val="28"/>
        </w:rPr>
      </w:pPr>
    </w:p>
    <w:p w14:paraId="20B0A750" w14:textId="69C50919" w:rsidR="00DE4582" w:rsidRDefault="0042203E" w:rsidP="00431865">
      <w:pPr>
        <w:pStyle w:val="Standard"/>
        <w:jc w:val="both"/>
        <w:rPr>
          <w:sz w:val="28"/>
          <w:szCs w:val="28"/>
        </w:rPr>
      </w:pPr>
      <w:r w:rsidRPr="00644068">
        <w:rPr>
          <w:sz w:val="28"/>
          <w:szCs w:val="28"/>
        </w:rPr>
        <w:tab/>
        <w:t>On</w:t>
      </w:r>
      <w:r w:rsidR="00DE4582">
        <w:rPr>
          <w:sz w:val="28"/>
          <w:szCs w:val="28"/>
        </w:rPr>
        <w:t xml:space="preserve"> April 16, 2025, the Third Circuit Court of Appeal reversed the Ninth Judicial District Court, Parish of Rapides in the civil action captioned “John Callis versus Greater Alexandria Economic Development Authority and Angela Varnado</w:t>
      </w:r>
      <w:r w:rsidR="00431865">
        <w:rPr>
          <w:sz w:val="28"/>
          <w:szCs w:val="28"/>
        </w:rPr>
        <w:t>.</w:t>
      </w:r>
      <w:r w:rsidR="000233BE">
        <w:rPr>
          <w:sz w:val="28"/>
          <w:szCs w:val="28"/>
        </w:rPr>
        <w:t>”</w:t>
      </w:r>
      <w:r w:rsidR="00431865">
        <w:rPr>
          <w:sz w:val="28"/>
          <w:szCs w:val="28"/>
        </w:rPr>
        <w:t xml:space="preserve"> </w:t>
      </w:r>
    </w:p>
    <w:p w14:paraId="5968F6E2" w14:textId="77777777" w:rsidR="00431865" w:rsidRDefault="00431865" w:rsidP="00431865">
      <w:pPr>
        <w:pStyle w:val="Standard"/>
        <w:jc w:val="both"/>
        <w:rPr>
          <w:sz w:val="28"/>
          <w:szCs w:val="28"/>
        </w:rPr>
      </w:pPr>
    </w:p>
    <w:p w14:paraId="4CCFE7F3" w14:textId="5895B6B1" w:rsidR="00DE4582" w:rsidRDefault="00431865" w:rsidP="00DE4582">
      <w:pPr>
        <w:pStyle w:val="Standard"/>
        <w:ind w:firstLine="720"/>
        <w:jc w:val="both"/>
        <w:rPr>
          <w:sz w:val="28"/>
          <w:szCs w:val="28"/>
        </w:rPr>
      </w:pPr>
      <w:r>
        <w:rPr>
          <w:sz w:val="28"/>
          <w:szCs w:val="28"/>
        </w:rPr>
        <w:t>The litigation was initiated by</w:t>
      </w:r>
      <w:r w:rsidR="00E65579">
        <w:rPr>
          <w:sz w:val="28"/>
          <w:szCs w:val="28"/>
        </w:rPr>
        <w:t xml:space="preserve"> Commissioner</w:t>
      </w:r>
      <w:r>
        <w:rPr>
          <w:sz w:val="28"/>
          <w:szCs w:val="28"/>
        </w:rPr>
        <w:t xml:space="preserve"> </w:t>
      </w:r>
      <w:r w:rsidR="00DE4582">
        <w:rPr>
          <w:sz w:val="28"/>
          <w:szCs w:val="28"/>
        </w:rPr>
        <w:t>John Callis</w:t>
      </w:r>
      <w:r>
        <w:rPr>
          <w:sz w:val="28"/>
          <w:szCs w:val="28"/>
        </w:rPr>
        <w:t xml:space="preserve"> who </w:t>
      </w:r>
      <w:r w:rsidR="00DE4582">
        <w:rPr>
          <w:sz w:val="28"/>
          <w:szCs w:val="28"/>
        </w:rPr>
        <w:t>filed suit as Plaintiff seeking a declaration that</w:t>
      </w:r>
      <w:r w:rsidR="00E65579">
        <w:rPr>
          <w:sz w:val="28"/>
          <w:szCs w:val="28"/>
        </w:rPr>
        <w:t xml:space="preserve"> the Greater Alexandria </w:t>
      </w:r>
      <w:r w:rsidR="00B31D93">
        <w:rPr>
          <w:sz w:val="28"/>
          <w:szCs w:val="28"/>
        </w:rPr>
        <w:t>Economic</w:t>
      </w:r>
      <w:r w:rsidR="003C1F68">
        <w:rPr>
          <w:sz w:val="28"/>
          <w:szCs w:val="28"/>
        </w:rPr>
        <w:t xml:space="preserve"> Development Authority, or</w:t>
      </w:r>
      <w:r w:rsidR="007946C5">
        <w:rPr>
          <w:sz w:val="28"/>
          <w:szCs w:val="28"/>
        </w:rPr>
        <w:t xml:space="preserve"> </w:t>
      </w:r>
      <w:r w:rsidR="00B31D93">
        <w:rPr>
          <w:sz w:val="28"/>
          <w:szCs w:val="28"/>
        </w:rPr>
        <w:t>“</w:t>
      </w:r>
      <w:r w:rsidR="00DE4582">
        <w:rPr>
          <w:sz w:val="28"/>
          <w:szCs w:val="28"/>
        </w:rPr>
        <w:t>GAEDA</w:t>
      </w:r>
      <w:r w:rsidR="003C1F68">
        <w:rPr>
          <w:sz w:val="28"/>
          <w:szCs w:val="28"/>
        </w:rPr>
        <w:t>,</w:t>
      </w:r>
      <w:r w:rsidR="00B31D93">
        <w:rPr>
          <w:sz w:val="28"/>
          <w:szCs w:val="28"/>
        </w:rPr>
        <w:t>”</w:t>
      </w:r>
      <w:r w:rsidR="00DE4582">
        <w:rPr>
          <w:sz w:val="28"/>
          <w:szCs w:val="28"/>
        </w:rPr>
        <w:t xml:space="preserve"> had violated the open meetings law on February 19, 2024, such that all actions taken at that meeting, including action taken to approve an </w:t>
      </w:r>
      <w:r w:rsidR="007946C5">
        <w:rPr>
          <w:sz w:val="28"/>
          <w:szCs w:val="28"/>
        </w:rPr>
        <w:t>e</w:t>
      </w:r>
      <w:r w:rsidR="00DE4582">
        <w:rPr>
          <w:sz w:val="28"/>
          <w:szCs w:val="28"/>
        </w:rPr>
        <w:t xml:space="preserve">mployment </w:t>
      </w:r>
      <w:r w:rsidR="007946C5">
        <w:rPr>
          <w:sz w:val="28"/>
          <w:szCs w:val="28"/>
        </w:rPr>
        <w:t>c</w:t>
      </w:r>
      <w:r w:rsidR="00DE4582">
        <w:rPr>
          <w:sz w:val="28"/>
          <w:szCs w:val="28"/>
        </w:rPr>
        <w:t>ontract for Ms. Va</w:t>
      </w:r>
      <w:r w:rsidR="008B6B79">
        <w:rPr>
          <w:sz w:val="28"/>
          <w:szCs w:val="28"/>
        </w:rPr>
        <w:t>r</w:t>
      </w:r>
      <w:r w:rsidR="00DE4582">
        <w:rPr>
          <w:sz w:val="28"/>
          <w:szCs w:val="28"/>
        </w:rPr>
        <w:t>nado as Executive Director of GAEDA, should be declared null and void</w:t>
      </w:r>
      <w:r w:rsidR="00FE1348">
        <w:rPr>
          <w:sz w:val="28"/>
          <w:szCs w:val="28"/>
        </w:rPr>
        <w:t xml:space="preserve">. At the February 19, 2024, meeting, GAEDA had approved </w:t>
      </w:r>
      <w:r w:rsidR="002B34C6">
        <w:rPr>
          <w:sz w:val="28"/>
          <w:szCs w:val="28"/>
        </w:rPr>
        <w:t>the</w:t>
      </w:r>
      <w:r w:rsidR="00FE1348">
        <w:rPr>
          <w:sz w:val="28"/>
          <w:szCs w:val="28"/>
        </w:rPr>
        <w:t xml:space="preserve"> </w:t>
      </w:r>
      <w:r w:rsidR="002B34C6">
        <w:rPr>
          <w:sz w:val="28"/>
          <w:szCs w:val="28"/>
        </w:rPr>
        <w:t>e</w:t>
      </w:r>
      <w:r w:rsidR="00FE1348">
        <w:rPr>
          <w:sz w:val="28"/>
          <w:szCs w:val="28"/>
        </w:rPr>
        <w:t xml:space="preserve">mployment </w:t>
      </w:r>
      <w:r w:rsidR="002B34C6">
        <w:rPr>
          <w:sz w:val="28"/>
          <w:szCs w:val="28"/>
        </w:rPr>
        <w:t xml:space="preserve">contract </w:t>
      </w:r>
      <w:r w:rsidR="00FE1348">
        <w:rPr>
          <w:sz w:val="28"/>
          <w:szCs w:val="28"/>
        </w:rPr>
        <w:t xml:space="preserve">for Ms. </w:t>
      </w:r>
      <w:r w:rsidR="008B6B79">
        <w:rPr>
          <w:sz w:val="28"/>
          <w:szCs w:val="28"/>
        </w:rPr>
        <w:t>Varnado</w:t>
      </w:r>
      <w:r w:rsidR="00FE1348">
        <w:rPr>
          <w:sz w:val="28"/>
          <w:szCs w:val="28"/>
        </w:rPr>
        <w:t xml:space="preserve"> relying on the legal advice of Ms. Tiffany Sanders that such action was proper. </w:t>
      </w:r>
      <w:r w:rsidR="00D10A47">
        <w:rPr>
          <w:sz w:val="28"/>
          <w:szCs w:val="28"/>
        </w:rPr>
        <w:t xml:space="preserve">While the litigation has been pending, Ms. Varnado has been dutifully serving the community in the role. </w:t>
      </w:r>
    </w:p>
    <w:p w14:paraId="552EA0F7" w14:textId="77777777" w:rsidR="00DE4582" w:rsidRDefault="00DE4582" w:rsidP="00DE4582">
      <w:pPr>
        <w:pStyle w:val="Standard"/>
        <w:ind w:left="705"/>
        <w:jc w:val="both"/>
        <w:rPr>
          <w:sz w:val="28"/>
          <w:szCs w:val="28"/>
        </w:rPr>
      </w:pPr>
    </w:p>
    <w:p w14:paraId="142DB4A8" w14:textId="028E7B99" w:rsidR="00DE4582" w:rsidRDefault="00DE4582" w:rsidP="005666EB">
      <w:pPr>
        <w:pStyle w:val="Standard"/>
        <w:ind w:firstLine="705"/>
        <w:jc w:val="both"/>
        <w:rPr>
          <w:sz w:val="28"/>
          <w:szCs w:val="28"/>
        </w:rPr>
      </w:pPr>
      <w:r>
        <w:rPr>
          <w:sz w:val="28"/>
          <w:szCs w:val="28"/>
        </w:rPr>
        <w:t xml:space="preserve">Mr. Callis specifically named Ms. </w:t>
      </w:r>
      <w:r w:rsidR="008B6B79">
        <w:rPr>
          <w:sz w:val="28"/>
          <w:szCs w:val="28"/>
        </w:rPr>
        <w:t xml:space="preserve">Varnado </w:t>
      </w:r>
      <w:r>
        <w:rPr>
          <w:sz w:val="28"/>
          <w:szCs w:val="28"/>
        </w:rPr>
        <w:t>as a Defendant</w:t>
      </w:r>
      <w:r w:rsidR="00FE1348">
        <w:rPr>
          <w:sz w:val="28"/>
          <w:szCs w:val="28"/>
        </w:rPr>
        <w:t xml:space="preserve"> in the litigation</w:t>
      </w:r>
      <w:r>
        <w:rPr>
          <w:sz w:val="28"/>
          <w:szCs w:val="28"/>
        </w:rPr>
        <w:t xml:space="preserve">. </w:t>
      </w:r>
    </w:p>
    <w:p w14:paraId="1663808B" w14:textId="77777777" w:rsidR="00DE4582" w:rsidRDefault="00DE4582" w:rsidP="00DE4582">
      <w:pPr>
        <w:pStyle w:val="Standard"/>
        <w:ind w:left="705"/>
        <w:jc w:val="both"/>
        <w:rPr>
          <w:sz w:val="28"/>
          <w:szCs w:val="28"/>
        </w:rPr>
      </w:pPr>
    </w:p>
    <w:p w14:paraId="08BC62E7" w14:textId="788FC1B2" w:rsidR="00DE4582" w:rsidRDefault="00DE4582" w:rsidP="00431865">
      <w:pPr>
        <w:pStyle w:val="Standard"/>
        <w:ind w:left="90" w:firstLine="615"/>
        <w:jc w:val="both"/>
        <w:rPr>
          <w:sz w:val="28"/>
          <w:szCs w:val="28"/>
        </w:rPr>
      </w:pPr>
      <w:r>
        <w:rPr>
          <w:sz w:val="28"/>
          <w:szCs w:val="28"/>
        </w:rPr>
        <w:tab/>
        <w:t xml:space="preserve">The Ninth </w:t>
      </w:r>
      <w:r w:rsidR="00431865">
        <w:rPr>
          <w:sz w:val="28"/>
          <w:szCs w:val="28"/>
        </w:rPr>
        <w:t xml:space="preserve">Judicial District Court, Parish of </w:t>
      </w:r>
      <w:proofErr w:type="gramStart"/>
      <w:r w:rsidR="00431865">
        <w:rPr>
          <w:sz w:val="28"/>
          <w:szCs w:val="28"/>
        </w:rPr>
        <w:t>Rapides</w:t>
      </w:r>
      <w:proofErr w:type="gramEnd"/>
      <w:r w:rsidR="00431865">
        <w:rPr>
          <w:sz w:val="28"/>
          <w:szCs w:val="28"/>
        </w:rPr>
        <w:t xml:space="preserve"> ruled that Mr. Callis had a right to proceed with his action</w:t>
      </w:r>
      <w:r w:rsidR="00FE1348">
        <w:rPr>
          <w:sz w:val="28"/>
          <w:szCs w:val="28"/>
        </w:rPr>
        <w:t xml:space="preserve"> and that the actions of GAEDA should be declared null and void. </w:t>
      </w:r>
      <w:r w:rsidR="00431865">
        <w:rPr>
          <w:sz w:val="28"/>
          <w:szCs w:val="28"/>
        </w:rPr>
        <w:t xml:space="preserve">Ms. </w:t>
      </w:r>
      <w:r w:rsidR="008B6B79">
        <w:rPr>
          <w:sz w:val="28"/>
          <w:szCs w:val="28"/>
        </w:rPr>
        <w:t>Varnado</w:t>
      </w:r>
      <w:r w:rsidR="008B6B79" w:rsidDel="008B6B79">
        <w:rPr>
          <w:sz w:val="28"/>
          <w:szCs w:val="28"/>
        </w:rPr>
        <w:t xml:space="preserve"> </w:t>
      </w:r>
      <w:r w:rsidR="00431865">
        <w:rPr>
          <w:sz w:val="28"/>
          <w:szCs w:val="28"/>
        </w:rPr>
        <w:t xml:space="preserve">sought a suspensive appeal to the Third Circuit Court of Appeals. On April 16, 2025, the Third Circuit reversed the district court and found as follows: </w:t>
      </w:r>
    </w:p>
    <w:p w14:paraId="7B096175" w14:textId="77777777" w:rsidR="00431865" w:rsidRDefault="00431865" w:rsidP="00431865">
      <w:pPr>
        <w:pStyle w:val="Standard"/>
        <w:ind w:left="90" w:firstLine="615"/>
        <w:jc w:val="both"/>
        <w:rPr>
          <w:sz w:val="28"/>
          <w:szCs w:val="28"/>
        </w:rPr>
      </w:pPr>
    </w:p>
    <w:p w14:paraId="6A32C4FD" w14:textId="63FFA3D6" w:rsidR="00431865" w:rsidRDefault="00431865" w:rsidP="00431865">
      <w:pPr>
        <w:pStyle w:val="Standard"/>
        <w:ind w:left="705"/>
        <w:jc w:val="both"/>
        <w:rPr>
          <w:sz w:val="28"/>
          <w:szCs w:val="28"/>
        </w:rPr>
      </w:pPr>
      <w:r>
        <w:rPr>
          <w:sz w:val="28"/>
          <w:szCs w:val="28"/>
        </w:rPr>
        <w:t>We find that the tr</w:t>
      </w:r>
      <w:r w:rsidR="008B6B79">
        <w:rPr>
          <w:sz w:val="28"/>
          <w:szCs w:val="28"/>
        </w:rPr>
        <w:t>ia</w:t>
      </w:r>
      <w:r>
        <w:rPr>
          <w:sz w:val="28"/>
          <w:szCs w:val="28"/>
        </w:rPr>
        <w:t>l court erred in its declaration that GAEDA conducted its Monday, February 19, 2024, meeting in violation of the Open Meetings Law. By decree</w:t>
      </w:r>
      <w:r w:rsidR="008B6B79">
        <w:rPr>
          <w:sz w:val="28"/>
          <w:szCs w:val="28"/>
        </w:rPr>
        <w:t xml:space="preserve"> below,</w:t>
      </w:r>
      <w:r>
        <w:rPr>
          <w:sz w:val="28"/>
          <w:szCs w:val="28"/>
        </w:rPr>
        <w:t xml:space="preserve"> we reverse that judgment as well as the trial court’s corresponding denial of Ms. </w:t>
      </w:r>
      <w:r w:rsidR="008B6B79">
        <w:rPr>
          <w:sz w:val="28"/>
          <w:szCs w:val="28"/>
        </w:rPr>
        <w:t>Varnado</w:t>
      </w:r>
      <w:r>
        <w:rPr>
          <w:sz w:val="28"/>
          <w:szCs w:val="28"/>
        </w:rPr>
        <w:t xml:space="preserve">’s preemptory exception of no cause of action filed below. We enter judgment in favor of Ms. </w:t>
      </w:r>
      <w:r w:rsidR="008B6B79">
        <w:rPr>
          <w:sz w:val="28"/>
          <w:szCs w:val="28"/>
        </w:rPr>
        <w:t>Varnado</w:t>
      </w:r>
      <w:r>
        <w:rPr>
          <w:sz w:val="28"/>
          <w:szCs w:val="28"/>
        </w:rPr>
        <w:t xml:space="preserve">, dismissing Plaintiff’s claims against her. </w:t>
      </w:r>
    </w:p>
    <w:p w14:paraId="29E03501" w14:textId="77777777" w:rsidR="00FE1348" w:rsidRDefault="00FE1348" w:rsidP="00431865">
      <w:pPr>
        <w:pStyle w:val="Standard"/>
        <w:ind w:left="705"/>
        <w:jc w:val="both"/>
        <w:rPr>
          <w:sz w:val="28"/>
          <w:szCs w:val="28"/>
        </w:rPr>
      </w:pPr>
    </w:p>
    <w:p w14:paraId="28D5A822" w14:textId="12280065" w:rsidR="00431865" w:rsidRDefault="00FE1348" w:rsidP="00431865">
      <w:pPr>
        <w:pStyle w:val="Standard"/>
        <w:ind w:left="90" w:firstLine="615"/>
        <w:jc w:val="both"/>
        <w:rPr>
          <w:sz w:val="28"/>
          <w:szCs w:val="28"/>
        </w:rPr>
      </w:pPr>
      <w:r>
        <w:rPr>
          <w:sz w:val="28"/>
          <w:szCs w:val="28"/>
        </w:rPr>
        <w:t xml:space="preserve">Specifically, the Third Circuit found that GAEDA had complied in all respects </w:t>
      </w:r>
      <w:r>
        <w:rPr>
          <w:sz w:val="28"/>
          <w:szCs w:val="28"/>
        </w:rPr>
        <w:lastRenderedPageBreak/>
        <w:t xml:space="preserve">with the Open Meetings Law and that GAEDA had not violated any laws regarding the same. </w:t>
      </w:r>
      <w:r w:rsidR="00431865">
        <w:rPr>
          <w:sz w:val="28"/>
          <w:szCs w:val="28"/>
        </w:rPr>
        <w:t xml:space="preserve">A copy of the Opinion is attached hereto and made a part hereof. </w:t>
      </w:r>
    </w:p>
    <w:p w14:paraId="608A4D52" w14:textId="77777777" w:rsidR="00424E5B" w:rsidRPr="00644068" w:rsidRDefault="00424E5B" w:rsidP="00424E5B">
      <w:pPr>
        <w:pStyle w:val="Standard"/>
        <w:jc w:val="both"/>
        <w:rPr>
          <w:sz w:val="28"/>
          <w:szCs w:val="28"/>
        </w:rPr>
      </w:pPr>
    </w:p>
    <w:p w14:paraId="3A09C495" w14:textId="613D45F2" w:rsidR="00861AF7" w:rsidRPr="00644068" w:rsidRDefault="00861AF7" w:rsidP="00424E5B">
      <w:pPr>
        <w:jc w:val="both"/>
        <w:rPr>
          <w:b/>
          <w:bCs/>
          <w:sz w:val="28"/>
          <w:szCs w:val="28"/>
        </w:rPr>
      </w:pPr>
      <w:r w:rsidRPr="00644068">
        <w:rPr>
          <w:b/>
          <w:bCs/>
          <w:sz w:val="28"/>
          <w:szCs w:val="28"/>
        </w:rPr>
        <w:t xml:space="preserve">Statement </w:t>
      </w:r>
      <w:proofErr w:type="gramStart"/>
      <w:r w:rsidRPr="00644068">
        <w:rPr>
          <w:b/>
          <w:bCs/>
          <w:sz w:val="28"/>
          <w:szCs w:val="28"/>
        </w:rPr>
        <w:t>of</w:t>
      </w:r>
      <w:proofErr w:type="gramEnd"/>
      <w:r w:rsidRPr="00644068">
        <w:rPr>
          <w:b/>
          <w:bCs/>
          <w:sz w:val="28"/>
          <w:szCs w:val="28"/>
        </w:rPr>
        <w:t xml:space="preserve"> </w:t>
      </w:r>
      <w:r w:rsidR="00431865">
        <w:rPr>
          <w:b/>
          <w:bCs/>
          <w:sz w:val="28"/>
          <w:szCs w:val="28"/>
        </w:rPr>
        <w:t xml:space="preserve">Angela </w:t>
      </w:r>
      <w:r w:rsidR="008B6B79" w:rsidRPr="005666EB">
        <w:rPr>
          <w:b/>
          <w:bCs/>
          <w:sz w:val="28"/>
          <w:szCs w:val="28"/>
        </w:rPr>
        <w:t>Varnado</w:t>
      </w:r>
      <w:r w:rsidR="00431865">
        <w:rPr>
          <w:b/>
          <w:bCs/>
          <w:sz w:val="28"/>
          <w:szCs w:val="28"/>
        </w:rPr>
        <w:t xml:space="preserve">: </w:t>
      </w:r>
    </w:p>
    <w:p w14:paraId="31BBA7A4" w14:textId="77777777" w:rsidR="00861AF7" w:rsidRPr="00644068" w:rsidRDefault="00861AF7" w:rsidP="00424E5B">
      <w:pPr>
        <w:jc w:val="both"/>
        <w:rPr>
          <w:sz w:val="28"/>
          <w:szCs w:val="28"/>
        </w:rPr>
      </w:pPr>
    </w:p>
    <w:p w14:paraId="07BFD20D" w14:textId="64FDF9D0" w:rsidR="00431865" w:rsidRDefault="0042203E" w:rsidP="00431865">
      <w:pPr>
        <w:ind w:left="709"/>
        <w:jc w:val="both"/>
        <w:rPr>
          <w:sz w:val="28"/>
          <w:szCs w:val="28"/>
        </w:rPr>
      </w:pPr>
      <w:r w:rsidRPr="00644068">
        <w:rPr>
          <w:sz w:val="28"/>
          <w:szCs w:val="28"/>
        </w:rPr>
        <w:t>I</w:t>
      </w:r>
      <w:r w:rsidR="00DE4582">
        <w:rPr>
          <w:sz w:val="28"/>
          <w:szCs w:val="28"/>
        </w:rPr>
        <w:t xml:space="preserve"> have been loyal to the Greater Alexandria Eco</w:t>
      </w:r>
      <w:r w:rsidR="00431865">
        <w:rPr>
          <w:sz w:val="28"/>
          <w:szCs w:val="28"/>
        </w:rPr>
        <w:t xml:space="preserve">nomic Development Authority, and, while I was disappointed that litigation was filed questioning my </w:t>
      </w:r>
      <w:r w:rsidR="00280CFC">
        <w:rPr>
          <w:sz w:val="28"/>
          <w:szCs w:val="28"/>
        </w:rPr>
        <w:t>Employment Agreement</w:t>
      </w:r>
      <w:r w:rsidR="00431865">
        <w:rPr>
          <w:sz w:val="28"/>
          <w:szCs w:val="28"/>
        </w:rPr>
        <w:t>, I am very pleased that the Courts have now determined that the board of GAEDA appropriately followed the law</w:t>
      </w:r>
      <w:r w:rsidR="00280CFC">
        <w:rPr>
          <w:sz w:val="28"/>
          <w:szCs w:val="28"/>
        </w:rPr>
        <w:t>.</w:t>
      </w:r>
      <w:r w:rsidR="00431865">
        <w:rPr>
          <w:sz w:val="28"/>
          <w:szCs w:val="28"/>
        </w:rPr>
        <w:t xml:space="preserve"> It is my sincere hope that we can all find a way to put this dispute behind us and to continue working for the greater good of the citizens of this community. My heart is in public service, and I will continue to wake up every day and do my best for our community. </w:t>
      </w:r>
    </w:p>
    <w:p w14:paraId="7FC18E66" w14:textId="77777777" w:rsidR="00431865" w:rsidRDefault="00431865" w:rsidP="00424E5B">
      <w:pPr>
        <w:ind w:firstLine="709"/>
        <w:jc w:val="both"/>
        <w:rPr>
          <w:sz w:val="28"/>
          <w:szCs w:val="28"/>
        </w:rPr>
      </w:pPr>
    </w:p>
    <w:p w14:paraId="0CF187DE" w14:textId="2726FC7A" w:rsidR="00431865" w:rsidRDefault="00431865" w:rsidP="00424E5B">
      <w:pPr>
        <w:ind w:firstLine="709"/>
        <w:jc w:val="both"/>
        <w:rPr>
          <w:sz w:val="28"/>
          <w:szCs w:val="28"/>
        </w:rPr>
      </w:pPr>
      <w:r>
        <w:rPr>
          <w:sz w:val="28"/>
          <w:szCs w:val="28"/>
        </w:rPr>
        <w:t xml:space="preserve">Ms. Varnado was represented by Ms. Allison A. Jones and Mr. Marcus D. Sandifer of the law firm Downer, Jones, Marino and Wilhite, Shreveport, Louisiana. </w:t>
      </w:r>
    </w:p>
    <w:p w14:paraId="03977522" w14:textId="77777777" w:rsidR="00431865" w:rsidRDefault="00431865" w:rsidP="00424E5B">
      <w:pPr>
        <w:ind w:firstLine="709"/>
        <w:jc w:val="both"/>
        <w:rPr>
          <w:sz w:val="28"/>
          <w:szCs w:val="28"/>
        </w:rPr>
      </w:pPr>
    </w:p>
    <w:p w14:paraId="7D1E64AB" w14:textId="2C0E2756" w:rsidR="00431865" w:rsidRPr="00431865" w:rsidRDefault="00431865" w:rsidP="00424E5B">
      <w:pPr>
        <w:ind w:firstLine="709"/>
        <w:jc w:val="both"/>
        <w:rPr>
          <w:b/>
          <w:bCs/>
          <w:sz w:val="28"/>
          <w:szCs w:val="28"/>
        </w:rPr>
      </w:pPr>
      <w:r w:rsidRPr="00431865">
        <w:rPr>
          <w:b/>
          <w:bCs/>
          <w:sz w:val="28"/>
          <w:szCs w:val="28"/>
        </w:rPr>
        <w:t xml:space="preserve">Statement of Ms. </w:t>
      </w:r>
      <w:r>
        <w:rPr>
          <w:b/>
          <w:bCs/>
          <w:sz w:val="28"/>
          <w:szCs w:val="28"/>
        </w:rPr>
        <w:t xml:space="preserve">Allison A. </w:t>
      </w:r>
      <w:r w:rsidRPr="00431865">
        <w:rPr>
          <w:b/>
          <w:bCs/>
          <w:sz w:val="28"/>
          <w:szCs w:val="28"/>
        </w:rPr>
        <w:t>Jones</w:t>
      </w:r>
    </w:p>
    <w:p w14:paraId="7AF6D851" w14:textId="77777777" w:rsidR="00431865" w:rsidRDefault="00431865" w:rsidP="00424E5B">
      <w:pPr>
        <w:ind w:firstLine="709"/>
        <w:jc w:val="both"/>
        <w:rPr>
          <w:sz w:val="28"/>
          <w:szCs w:val="28"/>
        </w:rPr>
      </w:pPr>
    </w:p>
    <w:p w14:paraId="1C030C61" w14:textId="69D49382" w:rsidR="00431865" w:rsidRDefault="00431865" w:rsidP="00431865">
      <w:pPr>
        <w:ind w:left="709"/>
        <w:jc w:val="both"/>
        <w:rPr>
          <w:sz w:val="28"/>
          <w:szCs w:val="28"/>
        </w:rPr>
      </w:pPr>
      <w:r>
        <w:rPr>
          <w:sz w:val="28"/>
          <w:szCs w:val="28"/>
        </w:rPr>
        <w:t xml:space="preserve">We are delighted that we were able to help Ms. </w:t>
      </w:r>
      <w:r w:rsidR="008B6B79">
        <w:rPr>
          <w:sz w:val="28"/>
          <w:szCs w:val="28"/>
        </w:rPr>
        <w:t>Varnado</w:t>
      </w:r>
      <w:r>
        <w:rPr>
          <w:sz w:val="28"/>
          <w:szCs w:val="28"/>
        </w:rPr>
        <w:t xml:space="preserve"> in this matter. She is a true example of a public servant, and we believe that the Third Circuit Court of Appeal correctly followed the law. We are hopeful that our services contributed to a positive result for the community such that everyone can now focus on the work that needs to be done to continue to facilitate economic development for </w:t>
      </w:r>
      <w:r w:rsidR="008B6B79">
        <w:rPr>
          <w:sz w:val="28"/>
          <w:szCs w:val="28"/>
        </w:rPr>
        <w:t>the Greater Alexandria area</w:t>
      </w:r>
      <w:r>
        <w:rPr>
          <w:sz w:val="28"/>
          <w:szCs w:val="28"/>
        </w:rPr>
        <w:t xml:space="preserve">. </w:t>
      </w:r>
    </w:p>
    <w:p w14:paraId="31ED6DE0" w14:textId="77777777" w:rsidR="00431865" w:rsidRDefault="00431865" w:rsidP="00424E5B">
      <w:pPr>
        <w:ind w:firstLine="709"/>
        <w:jc w:val="both"/>
        <w:rPr>
          <w:sz w:val="28"/>
          <w:szCs w:val="28"/>
        </w:rPr>
      </w:pPr>
    </w:p>
    <w:p w14:paraId="2FE87F6B" w14:textId="77777777" w:rsidR="00431865" w:rsidRDefault="00431865" w:rsidP="00424E5B">
      <w:pPr>
        <w:ind w:firstLine="709"/>
        <w:jc w:val="both"/>
        <w:rPr>
          <w:sz w:val="28"/>
          <w:szCs w:val="28"/>
        </w:rPr>
      </w:pPr>
    </w:p>
    <w:p w14:paraId="42E58443" w14:textId="2C8D2203" w:rsidR="00431865" w:rsidRDefault="00431865" w:rsidP="00424E5B">
      <w:pPr>
        <w:ind w:firstLine="709"/>
        <w:jc w:val="both"/>
        <w:rPr>
          <w:sz w:val="28"/>
          <w:szCs w:val="28"/>
        </w:rPr>
      </w:pPr>
      <w:r>
        <w:rPr>
          <w:sz w:val="28"/>
          <w:szCs w:val="28"/>
        </w:rPr>
        <w:t xml:space="preserve">Ms. Jones can be reached by email </w:t>
      </w:r>
      <w:hyperlink r:id="rId6" w:history="1">
        <w:r w:rsidRPr="00C10537">
          <w:rPr>
            <w:rStyle w:val="Hyperlink"/>
            <w:sz w:val="28"/>
            <w:szCs w:val="28"/>
          </w:rPr>
          <w:t>ajones@dhw-law.com</w:t>
        </w:r>
      </w:hyperlink>
      <w:r>
        <w:rPr>
          <w:sz w:val="28"/>
          <w:szCs w:val="28"/>
        </w:rPr>
        <w:t xml:space="preserve"> </w:t>
      </w:r>
    </w:p>
    <w:sectPr w:rsidR="00431865" w:rsidSect="003F3A5F">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3F34A" w14:textId="77777777" w:rsidR="00821D29" w:rsidRDefault="00D10F3F">
      <w:r>
        <w:separator/>
      </w:r>
    </w:p>
  </w:endnote>
  <w:endnote w:type="continuationSeparator" w:id="0">
    <w:p w14:paraId="3186B03E" w14:textId="77777777" w:rsidR="00821D29" w:rsidRDefault="00D1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4F25" w14:textId="48694AB5" w:rsidR="003F3A5F" w:rsidRDefault="003F3A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C10F" w14:textId="77777777" w:rsidR="00821D29" w:rsidRDefault="00D10F3F">
      <w:r>
        <w:rPr>
          <w:color w:val="000000"/>
        </w:rPr>
        <w:separator/>
      </w:r>
    </w:p>
  </w:footnote>
  <w:footnote w:type="continuationSeparator" w:id="0">
    <w:p w14:paraId="59410A1E" w14:textId="77777777" w:rsidR="00821D29" w:rsidRDefault="00D10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2A"/>
    <w:rsid w:val="00003AEB"/>
    <w:rsid w:val="000233BE"/>
    <w:rsid w:val="00055252"/>
    <w:rsid w:val="001D7764"/>
    <w:rsid w:val="00200F2A"/>
    <w:rsid w:val="00280CFC"/>
    <w:rsid w:val="002B34C6"/>
    <w:rsid w:val="002F3E38"/>
    <w:rsid w:val="00332CF7"/>
    <w:rsid w:val="00353D36"/>
    <w:rsid w:val="003C1F68"/>
    <w:rsid w:val="003F3A5F"/>
    <w:rsid w:val="0042203E"/>
    <w:rsid w:val="00424E5B"/>
    <w:rsid w:val="00431865"/>
    <w:rsid w:val="005106C1"/>
    <w:rsid w:val="005666EB"/>
    <w:rsid w:val="005C7FB8"/>
    <w:rsid w:val="00615ED9"/>
    <w:rsid w:val="00632417"/>
    <w:rsid w:val="00644068"/>
    <w:rsid w:val="00682F05"/>
    <w:rsid w:val="006D48B4"/>
    <w:rsid w:val="00723C7A"/>
    <w:rsid w:val="007813E6"/>
    <w:rsid w:val="0078643E"/>
    <w:rsid w:val="007906F0"/>
    <w:rsid w:val="007946C5"/>
    <w:rsid w:val="007F7AA7"/>
    <w:rsid w:val="00821D29"/>
    <w:rsid w:val="00861AF7"/>
    <w:rsid w:val="008B6B79"/>
    <w:rsid w:val="008F4BEB"/>
    <w:rsid w:val="009043A5"/>
    <w:rsid w:val="00AA2B89"/>
    <w:rsid w:val="00B31D93"/>
    <w:rsid w:val="00C9398A"/>
    <w:rsid w:val="00CF7DEE"/>
    <w:rsid w:val="00D10A47"/>
    <w:rsid w:val="00D10F3F"/>
    <w:rsid w:val="00D5743D"/>
    <w:rsid w:val="00DE01FF"/>
    <w:rsid w:val="00DE4582"/>
    <w:rsid w:val="00DE4772"/>
    <w:rsid w:val="00E65579"/>
    <w:rsid w:val="00FB0016"/>
    <w:rsid w:val="00FE1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2E2013"/>
  <w15:docId w15:val="{54F8864C-AE29-4FA2-8D40-57E7BD76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Arial Unicode M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3F3A5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F3A5F"/>
    <w:rPr>
      <w:rFonts w:cs="Mangal"/>
      <w:szCs w:val="21"/>
    </w:rPr>
  </w:style>
  <w:style w:type="paragraph" w:styleId="Footer">
    <w:name w:val="footer"/>
    <w:basedOn w:val="Normal"/>
    <w:link w:val="FooterChar"/>
    <w:uiPriority w:val="99"/>
    <w:unhideWhenUsed/>
    <w:rsid w:val="003F3A5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F3A5F"/>
    <w:rPr>
      <w:rFonts w:cs="Mangal"/>
      <w:szCs w:val="21"/>
    </w:rPr>
  </w:style>
  <w:style w:type="character" w:styleId="Hyperlink">
    <w:name w:val="Hyperlink"/>
    <w:basedOn w:val="DefaultParagraphFont"/>
    <w:uiPriority w:val="99"/>
    <w:unhideWhenUsed/>
    <w:rsid w:val="00431865"/>
    <w:rPr>
      <w:color w:val="0563C1" w:themeColor="hyperlink"/>
      <w:u w:val="single"/>
    </w:rPr>
  </w:style>
  <w:style w:type="character" w:styleId="UnresolvedMention">
    <w:name w:val="Unresolved Mention"/>
    <w:basedOn w:val="DefaultParagraphFont"/>
    <w:uiPriority w:val="99"/>
    <w:semiHidden/>
    <w:unhideWhenUsed/>
    <w:rsid w:val="00431865"/>
    <w:rPr>
      <w:color w:val="605E5C"/>
      <w:shd w:val="clear" w:color="auto" w:fill="E1DFDD"/>
    </w:rPr>
  </w:style>
  <w:style w:type="paragraph" w:styleId="Revision">
    <w:name w:val="Revision"/>
    <w:hidden/>
    <w:uiPriority w:val="99"/>
    <w:semiHidden/>
    <w:rsid w:val="008B6B79"/>
    <w:pPr>
      <w:widowControl/>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68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jones@dhw-law.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Jones</dc:creator>
  <cp:lastModifiedBy>Allison Jones</cp:lastModifiedBy>
  <cp:revision>2</cp:revision>
  <dcterms:created xsi:type="dcterms:W3CDTF">2025-04-16T19:11:00Z</dcterms:created>
  <dcterms:modified xsi:type="dcterms:W3CDTF">2025-04-16T19:11:00Z</dcterms:modified>
</cp:coreProperties>
</file>